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755D0">
      <w:pPr>
        <w:pStyle w:val="2"/>
        <w:keepNext w:val="0"/>
        <w:keepLines w:val="0"/>
        <w:widowControl/>
        <w:spacing w:before="0" w:after="322"/>
        <w:jc w:val="center"/>
        <w:rPr>
          <w:rFonts w:ascii="Times New Roman" w:hAnsi="Times New Roman" w:eastAsia="Times New Roman" w:cs="Times New Roman"/>
          <w:b/>
          <w:bCs/>
          <w:kern w:val="0"/>
          <w:sz w:val="48"/>
          <w:szCs w:val="48"/>
        </w:rPr>
      </w:pPr>
      <w:bookmarkStart w:id="0" w:name="a000"/>
      <w:r>
        <w:rPr>
          <w:rFonts w:ascii="宋体" w:hAnsi="宋体" w:eastAsia="宋体" w:cs="宋体"/>
          <w:color w:val="auto"/>
          <w:kern w:val="36"/>
          <w:sz w:val="48"/>
          <w:szCs w:val="48"/>
        </w:rPr>
        <w:t>法制日报社</w:t>
      </w:r>
    </w:p>
    <w:p w14:paraId="7BE7ACF8">
      <w:pPr>
        <w:pStyle w:val="2"/>
        <w:keepNext w:val="0"/>
        <w:keepLines w:val="0"/>
        <w:widowControl/>
        <w:spacing w:before="322" w:after="322"/>
        <w:jc w:val="center"/>
        <w:rPr>
          <w:rFonts w:ascii="Times New Roman" w:hAnsi="Times New Roman" w:eastAsia="Times New Roman" w:cs="Times New Roman"/>
          <w:b/>
          <w:bCs/>
          <w:kern w:val="0"/>
          <w:sz w:val="48"/>
          <w:szCs w:val="48"/>
        </w:rPr>
      </w:pPr>
      <w:r>
        <w:rPr>
          <w:rFonts w:ascii="Times New Roman" w:hAnsi="Times New Roman" w:eastAsia="Times New Roman" w:cs="Times New Roman"/>
          <w:color w:val="auto"/>
          <w:kern w:val="36"/>
          <w:sz w:val="48"/>
          <w:szCs w:val="48"/>
        </w:rPr>
        <w:t>2023</w:t>
      </w:r>
      <w:r>
        <w:rPr>
          <w:rFonts w:ascii="宋体" w:hAnsi="宋体" w:eastAsia="宋体" w:cs="宋体"/>
          <w:color w:val="auto"/>
          <w:kern w:val="36"/>
          <w:sz w:val="48"/>
          <w:szCs w:val="48"/>
        </w:rPr>
        <w:t>年度决算公开报告</w:t>
      </w:r>
    </w:p>
    <w:p w14:paraId="76ED6C69">
      <w:pPr>
        <w:pStyle w:val="3"/>
        <w:keepNext w:val="0"/>
        <w:keepLines w:val="0"/>
        <w:widowControl/>
        <w:spacing w:before="299" w:after="299"/>
        <w:jc w:val="left"/>
        <w:rPr>
          <w:rFonts w:hint="eastAsia" w:ascii="Times New Roman" w:hAnsi="Times New Roman" w:eastAsia="宋体" w:cs="Times New Roman"/>
          <w:b/>
          <w:bCs/>
          <w:kern w:val="0"/>
          <w:sz w:val="36"/>
          <w:szCs w:val="36"/>
          <w:lang w:eastAsia="zh-CN"/>
        </w:rPr>
      </w:pPr>
      <w:r>
        <w:rPr>
          <w:rFonts w:ascii="宋体" w:hAnsi="宋体" w:eastAsia="宋体" w:cs="宋体"/>
          <w:color w:val="auto"/>
          <w:kern w:val="0"/>
          <w:sz w:val="36"/>
          <w:szCs w:val="36"/>
        </w:rPr>
        <w:t>第一部分</w:t>
      </w:r>
      <w:r>
        <w:rPr>
          <w:rFonts w:ascii="Times New Roman" w:hAnsi="Times New Roman" w:eastAsia="Times New Roman" w:cs="Times New Roman"/>
          <w:color w:val="auto"/>
          <w:kern w:val="0"/>
          <w:sz w:val="36"/>
          <w:szCs w:val="36"/>
        </w:rPr>
        <w:t xml:space="preserve"> </w:t>
      </w:r>
      <w:r>
        <w:rPr>
          <w:rFonts w:hint="eastAsia" w:ascii="Times New Roman" w:hAnsi="Times New Roman" w:eastAsia="宋体" w:cs="Times New Roman"/>
          <w:color w:val="auto"/>
          <w:kern w:val="0"/>
          <w:sz w:val="36"/>
          <w:szCs w:val="36"/>
          <w:lang w:val="en-US" w:eastAsia="zh-CN"/>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基本情况</w:t>
      </w:r>
      <w:r>
        <w:rPr>
          <w:rFonts w:hint="eastAsia" w:ascii="宋体" w:hAnsi="宋体" w:eastAsia="宋体" w:cs="宋体"/>
          <w:color w:val="auto"/>
          <w:kern w:val="0"/>
          <w:sz w:val="36"/>
          <w:szCs w:val="36"/>
          <w:lang w:eastAsia="zh-CN"/>
        </w:rPr>
        <w:t>：</w:t>
      </w:r>
    </w:p>
    <w:p w14:paraId="081AAA5A">
      <w:pPr>
        <w:pStyle w:val="5"/>
        <w:tabs>
          <w:tab w:val="left" w:pos="2977"/>
        </w:tabs>
        <w:ind w:firstLine="56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《法</w:t>
      </w:r>
      <w:r>
        <w:rPr>
          <w:rFonts w:hint="eastAsia" w:ascii="仿宋_GB2312" w:hAnsi="仿宋" w:cs="Times New Roman"/>
          <w:kern w:val="2"/>
          <w:sz w:val="32"/>
          <w:szCs w:val="32"/>
          <w:lang w:val="en-US" w:eastAsia="zh-CN" w:bidi="ar-SA"/>
        </w:rPr>
        <w:t>治</w:t>
      </w:r>
      <w:r>
        <w:rPr>
          <w:rFonts w:hint="eastAsia" w:ascii="仿宋_GB2312" w:hAnsi="仿宋" w:eastAsia="仿宋_GB2312" w:cs="Times New Roman"/>
          <w:kern w:val="2"/>
          <w:sz w:val="32"/>
          <w:szCs w:val="32"/>
          <w:lang w:val="en-US" w:eastAsia="zh-CN" w:bidi="ar-SA"/>
        </w:rPr>
        <w:t>日报》是根据彭真同志“政法战线要办一张报纸”的指示精神，于1980年8月1日创办的。并明确“《法</w:t>
      </w:r>
      <w:r>
        <w:rPr>
          <w:rFonts w:hint="eastAsia" w:ascii="仿宋_GB2312" w:hAnsi="仿宋" w:cs="Times New Roman"/>
          <w:kern w:val="2"/>
          <w:sz w:val="32"/>
          <w:szCs w:val="32"/>
          <w:lang w:val="en-US" w:eastAsia="zh-CN" w:bidi="ar-SA"/>
        </w:rPr>
        <w:t>治</w:t>
      </w:r>
      <w:r>
        <w:rPr>
          <w:rFonts w:hint="eastAsia" w:ascii="仿宋_GB2312" w:hAnsi="仿宋" w:eastAsia="仿宋_GB2312" w:cs="Times New Roman"/>
          <w:kern w:val="2"/>
          <w:sz w:val="32"/>
          <w:szCs w:val="32"/>
          <w:lang w:val="en-US" w:eastAsia="zh-CN" w:bidi="ar-SA"/>
        </w:rPr>
        <w:t>日报》是党在政法综治战线的主要喉舌，是党和国家在民主法制建设领域的重要舆论阵地”。办报宗旨是报道法制新闻和有关信息，促进法制建设。法制日报社是《法</w:t>
      </w:r>
      <w:r>
        <w:rPr>
          <w:rFonts w:hint="eastAsia" w:ascii="仿宋_GB2312" w:hAnsi="仿宋" w:cs="Times New Roman"/>
          <w:kern w:val="2"/>
          <w:sz w:val="32"/>
          <w:szCs w:val="32"/>
          <w:lang w:val="en-US" w:eastAsia="zh-CN" w:bidi="ar-SA"/>
        </w:rPr>
        <w:t>治</w:t>
      </w:r>
      <w:r>
        <w:rPr>
          <w:rFonts w:hint="eastAsia" w:ascii="仿宋_GB2312" w:hAnsi="仿宋" w:eastAsia="仿宋_GB2312" w:cs="Times New Roman"/>
          <w:kern w:val="2"/>
          <w:sz w:val="32"/>
          <w:szCs w:val="32"/>
          <w:lang w:val="en-US" w:eastAsia="zh-CN" w:bidi="ar-SA"/>
        </w:rPr>
        <w:t>日报》的出版单位。报社由中华人民共和国司法部管理，是中央事业单位法人，事业法人证书号码：事证第110000000184号。组织机构代码为40000322-7。业务范围：主报出版、主报网络版出版、相关印刷发行、广告业务、新闻研究相关专业培训。</w:t>
      </w:r>
    </w:p>
    <w:p w14:paraId="44A5B188">
      <w:pPr>
        <w:snapToGrid w:val="0"/>
        <w:spacing w:line="52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法制</w:t>
      </w:r>
      <w:bookmarkStart w:id="1" w:name="_GoBack"/>
      <w:bookmarkEnd w:id="1"/>
      <w:r>
        <w:rPr>
          <w:rFonts w:hint="eastAsia" w:ascii="仿宋_GB2312" w:hAnsi="仿宋" w:eastAsia="仿宋_GB2312" w:cs="Times New Roman"/>
          <w:kern w:val="2"/>
          <w:sz w:val="32"/>
          <w:szCs w:val="32"/>
          <w:lang w:val="en-US" w:eastAsia="zh-CN" w:bidi="ar-SA"/>
        </w:rPr>
        <w:t>日报社属公益二类事业单位，执行企业会计制度，经费自理，无财政支出。2023年度事业编制575人，年末实有员工731人。</w:t>
      </w:r>
    </w:p>
    <w:p w14:paraId="730BEAA7">
      <w:pPr>
        <w:widowControl/>
        <w:spacing w:before="240" w:after="240"/>
        <w:jc w:val="left"/>
        <w:rPr>
          <w:rFonts w:ascii="Times New Roman" w:hAnsi="Times New Roman" w:eastAsia="Times New Roman" w:cs="Times New Roman"/>
          <w:kern w:val="0"/>
          <w:sz w:val="24"/>
        </w:rPr>
      </w:pPr>
    </w:p>
    <w:p w14:paraId="7ED8BC65">
      <w:pPr>
        <w:pStyle w:val="3"/>
        <w:keepNext w:val="0"/>
        <w:keepLines w:val="0"/>
        <w:widowControl/>
        <w:spacing w:before="299" w:after="299"/>
        <w:jc w:val="left"/>
        <w:rPr>
          <w:rFonts w:hint="eastAsia" w:ascii="Times New Roman" w:hAnsi="Times New Roman" w:eastAsia="宋体" w:cs="Times New Roman"/>
          <w:b/>
          <w:bCs/>
          <w:kern w:val="0"/>
          <w:sz w:val="36"/>
          <w:szCs w:val="36"/>
          <w:lang w:eastAsia="zh-CN"/>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二</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决算情况说明</w:t>
      </w:r>
      <w:r>
        <w:rPr>
          <w:rFonts w:hint="eastAsia" w:ascii="宋体" w:hAnsi="宋体" w:eastAsia="宋体" w:cs="宋体"/>
          <w:color w:val="auto"/>
          <w:kern w:val="0"/>
          <w:sz w:val="36"/>
          <w:szCs w:val="36"/>
          <w:lang w:eastAsia="zh-CN"/>
        </w:rPr>
        <w:t>：</w:t>
      </w:r>
    </w:p>
    <w:p w14:paraId="7A387507">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（一）收支情况总体说明</w:t>
      </w:r>
    </w:p>
    <w:p w14:paraId="6EED9ABD">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1</w:t>
      </w:r>
      <w:r>
        <w:rPr>
          <w:rFonts w:ascii="宋体" w:hAnsi="宋体" w:eastAsia="宋体" w:cs="宋体"/>
          <w:b/>
          <w:bCs/>
          <w:kern w:val="0"/>
          <w:sz w:val="24"/>
        </w:rPr>
        <w:t>、收入总计</w:t>
      </w:r>
      <w:r>
        <w:rPr>
          <w:rFonts w:ascii="Times New Roman" w:hAnsi="Times New Roman" w:eastAsia="Times New Roman" w:cs="Times New Roman"/>
          <w:b/>
          <w:bCs/>
          <w:kern w:val="0"/>
          <w:sz w:val="24"/>
        </w:rPr>
        <w:t xml:space="preserve"> 29483.81 </w:t>
      </w:r>
      <w:r>
        <w:rPr>
          <w:rFonts w:ascii="宋体" w:hAnsi="宋体" w:eastAsia="宋体" w:cs="宋体"/>
          <w:b/>
          <w:bCs/>
          <w:kern w:val="0"/>
          <w:sz w:val="24"/>
        </w:rPr>
        <w:t>万元。</w:t>
      </w:r>
    </w:p>
    <w:p w14:paraId="5F2EBF52">
      <w:pPr>
        <w:widowControl/>
        <w:spacing w:before="240" w:after="240"/>
        <w:jc w:val="left"/>
        <w:rPr>
          <w:rFonts w:hint="default" w:ascii="Times New Roman" w:hAnsi="Times New Roman" w:eastAsia="宋体" w:cs="Times New Roman"/>
          <w:kern w:val="0"/>
          <w:sz w:val="24"/>
          <w:lang w:val="en-US" w:eastAsia="zh-CN"/>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2023</w:t>
      </w:r>
      <w:r>
        <w:rPr>
          <w:rFonts w:ascii="宋体" w:hAnsi="宋体" w:eastAsia="宋体" w:cs="宋体"/>
          <w:kern w:val="0"/>
          <w:sz w:val="24"/>
        </w:rPr>
        <w:t>年度总收入</w:t>
      </w:r>
      <w:r>
        <w:rPr>
          <w:rFonts w:ascii="Times New Roman" w:hAnsi="Times New Roman" w:eastAsia="Times New Roman" w:cs="Times New Roman"/>
          <w:kern w:val="0"/>
          <w:sz w:val="24"/>
        </w:rPr>
        <w:t xml:space="preserve"> 29483.81  </w:t>
      </w:r>
      <w:r>
        <w:rPr>
          <w:rFonts w:ascii="宋体" w:hAnsi="宋体" w:eastAsia="宋体" w:cs="宋体"/>
          <w:kern w:val="0"/>
          <w:sz w:val="24"/>
        </w:rPr>
        <w:t>万元，其中：本年</w:t>
      </w:r>
      <w:r>
        <w:rPr>
          <w:rFonts w:hint="eastAsia" w:ascii="宋体" w:hAnsi="宋体" w:eastAsia="宋体" w:cs="宋体"/>
          <w:kern w:val="0"/>
          <w:sz w:val="24"/>
          <w:lang w:val="en-US" w:eastAsia="zh-CN"/>
        </w:rPr>
        <w:t>经营</w:t>
      </w:r>
      <w:r>
        <w:rPr>
          <w:rFonts w:ascii="宋体" w:hAnsi="宋体" w:eastAsia="宋体" w:cs="宋体"/>
          <w:kern w:val="0"/>
          <w:sz w:val="24"/>
        </w:rPr>
        <w:t>收入合计</w:t>
      </w:r>
      <w:r>
        <w:rPr>
          <w:rFonts w:ascii="Times New Roman" w:hAnsi="Times New Roman" w:eastAsia="Times New Roman" w:cs="Times New Roman"/>
          <w:kern w:val="0"/>
          <w:sz w:val="24"/>
        </w:rPr>
        <w:t xml:space="preserve"> 28608.23 </w:t>
      </w:r>
      <w:r>
        <w:rPr>
          <w:rFonts w:ascii="宋体" w:hAnsi="宋体" w:eastAsia="宋体" w:cs="宋体"/>
          <w:kern w:val="0"/>
          <w:sz w:val="24"/>
        </w:rPr>
        <w:t>万元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上年结转结余875.58万元。</w:t>
      </w:r>
    </w:p>
    <w:p w14:paraId="52060948">
      <w:pPr>
        <w:widowControl/>
        <w:numPr>
          <w:ilvl w:val="0"/>
          <w:numId w:val="1"/>
        </w:numPr>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一般公共预算财政拨款收入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ascii="宋体" w:hAnsi="宋体" w:eastAsia="宋体" w:cs="宋体"/>
          <w:kern w:val="0"/>
          <w:sz w:val="24"/>
        </w:rPr>
        <w:t>系法制日报社所属预算单位当年从中央财政取得一般公共预算资金。</w:t>
      </w:r>
      <w:r>
        <w:rPr>
          <w:rFonts w:hint="eastAsia" w:ascii="宋体" w:hAnsi="宋体" w:eastAsia="宋体" w:cs="宋体"/>
          <w:kern w:val="0"/>
          <w:sz w:val="24"/>
          <w:lang w:val="en-US" w:eastAsia="zh-CN"/>
        </w:rPr>
        <w:t>与2022年度相同。</w:t>
      </w:r>
    </w:p>
    <w:p w14:paraId="1AA4EB58">
      <w:pPr>
        <w:widowControl/>
        <w:numPr>
          <w:ilvl w:val="0"/>
          <w:numId w:val="1"/>
        </w:numPr>
        <w:spacing w:before="240" w:after="240"/>
        <w:ind w:left="0" w:leftChars="0" w:firstLine="0" w:firstLineChars="0"/>
        <w:jc w:val="left"/>
        <w:rPr>
          <w:rFonts w:hint="eastAsia" w:ascii="宋体" w:hAnsi="宋体" w:eastAsia="宋体" w:cs="宋体"/>
          <w:kern w:val="0"/>
          <w:sz w:val="24"/>
          <w:lang w:val="en-US" w:eastAsia="zh-CN"/>
        </w:rPr>
      </w:pPr>
      <w:r>
        <w:rPr>
          <w:rFonts w:ascii="宋体" w:hAnsi="宋体" w:eastAsia="宋体" w:cs="宋体"/>
          <w:b/>
          <w:bCs/>
          <w:kern w:val="0"/>
          <w:sz w:val="24"/>
        </w:rPr>
        <w:t>政府性基金预算财政拨款收入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ascii="宋体" w:hAnsi="宋体" w:eastAsia="宋体" w:cs="宋体"/>
          <w:kern w:val="0"/>
          <w:sz w:val="24"/>
        </w:rPr>
        <w:t>系法制日报社所属预算单位当年从中央财政取得政府性基金预算资金。</w:t>
      </w:r>
      <w:r>
        <w:rPr>
          <w:rFonts w:hint="eastAsia" w:ascii="宋体" w:hAnsi="宋体" w:eastAsia="宋体" w:cs="宋体"/>
          <w:kern w:val="0"/>
          <w:sz w:val="24"/>
          <w:lang w:val="en-US" w:eastAsia="zh-CN"/>
        </w:rPr>
        <w:t>与2022年度相同。</w:t>
      </w:r>
    </w:p>
    <w:p w14:paraId="4EACBCB1">
      <w:pPr>
        <w:widowControl/>
        <w:numPr>
          <w:ilvl w:val="0"/>
          <w:numId w:val="0"/>
        </w:numPr>
        <w:spacing w:before="240" w:after="240"/>
        <w:ind w:leftChars="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）国有资本经营预算财政拨款收入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F0C7C95">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）上级补助收入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286B1A1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）事业收入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6C327E4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）经营收入</w:t>
      </w:r>
      <w:r>
        <w:rPr>
          <w:rFonts w:ascii="Times New Roman" w:hAnsi="Times New Roman" w:eastAsia="Times New Roman" w:cs="Times New Roman"/>
          <w:b/>
          <w:bCs/>
          <w:kern w:val="0"/>
          <w:sz w:val="24"/>
        </w:rPr>
        <w:t xml:space="preserve"> 28608.23 </w:t>
      </w:r>
      <w:r>
        <w:rPr>
          <w:rFonts w:ascii="宋体" w:hAnsi="宋体" w:eastAsia="宋体" w:cs="宋体"/>
          <w:b/>
          <w:bCs/>
          <w:kern w:val="0"/>
          <w:sz w:val="24"/>
        </w:rPr>
        <w:t>万元。</w:t>
      </w:r>
      <w:r>
        <w:rPr>
          <w:rFonts w:ascii="宋体" w:hAnsi="宋体" w:eastAsia="宋体" w:cs="宋体"/>
          <w:kern w:val="0"/>
          <w:sz w:val="24"/>
        </w:rPr>
        <w:t>系法制日报社单位</w:t>
      </w:r>
      <w:r>
        <w:rPr>
          <w:rFonts w:hint="eastAsia" w:ascii="宋体" w:hAnsi="宋体" w:eastAsia="宋体" w:cs="宋体"/>
          <w:kern w:val="0"/>
          <w:sz w:val="24"/>
          <w:lang w:val="en-US" w:eastAsia="zh-CN"/>
        </w:rPr>
        <w:t>自主经营收入</w:t>
      </w:r>
      <w:r>
        <w:rPr>
          <w:rFonts w:ascii="宋体" w:hAnsi="宋体" w:eastAsia="宋体" w:cs="宋体"/>
          <w:kern w:val="0"/>
          <w:sz w:val="24"/>
        </w:rPr>
        <w:t>。</w:t>
      </w:r>
      <w:r>
        <w:rPr>
          <w:rFonts w:hint="eastAsia" w:ascii="宋体" w:hAnsi="宋体" w:eastAsia="宋体" w:cs="宋体"/>
          <w:kern w:val="0"/>
          <w:sz w:val="24"/>
          <w:lang w:val="en-US" w:eastAsia="zh-CN"/>
        </w:rPr>
        <w:t>2022年度决算数为26071.44万元，</w:t>
      </w:r>
      <w:r>
        <w:rPr>
          <w:rFonts w:ascii="宋体" w:hAnsi="宋体" w:eastAsia="宋体" w:cs="宋体"/>
          <w:kern w:val="0"/>
          <w:sz w:val="24"/>
        </w:rPr>
        <w:t>比</w:t>
      </w:r>
      <w:r>
        <w:rPr>
          <w:rFonts w:ascii="Times New Roman" w:hAnsi="Times New Roman" w:eastAsia="Times New Roman" w:cs="Times New Roman"/>
          <w:kern w:val="0"/>
          <w:sz w:val="24"/>
        </w:rPr>
        <w:t>2022</w:t>
      </w:r>
      <w:r>
        <w:rPr>
          <w:rFonts w:ascii="宋体" w:hAnsi="宋体" w:eastAsia="宋体" w:cs="宋体"/>
          <w:kern w:val="0"/>
          <w:sz w:val="24"/>
        </w:rPr>
        <w:t>年度决算数增加</w:t>
      </w:r>
      <w:r>
        <w:rPr>
          <w:rFonts w:hint="eastAsia" w:ascii="宋体" w:hAnsi="宋体" w:eastAsia="宋体" w:cs="宋体"/>
          <w:kern w:val="0"/>
          <w:sz w:val="24"/>
          <w:lang w:val="en-US" w:eastAsia="zh-CN"/>
        </w:rPr>
        <w:t>2536.79</w:t>
      </w:r>
      <w:r>
        <w:rPr>
          <w:rFonts w:ascii="宋体" w:hAnsi="宋体" w:eastAsia="宋体" w:cs="宋体"/>
          <w:kern w:val="0"/>
          <w:sz w:val="24"/>
        </w:rPr>
        <w:t>万元，提高</w:t>
      </w:r>
      <w:r>
        <w:rPr>
          <w:rFonts w:hint="eastAsia" w:ascii="宋体" w:hAnsi="宋体" w:eastAsia="宋体" w:cs="宋体"/>
          <w:kern w:val="0"/>
          <w:sz w:val="24"/>
          <w:lang w:val="en-US" w:eastAsia="zh-CN"/>
        </w:rPr>
        <w:t>9.7</w:t>
      </w:r>
      <w:r>
        <w:rPr>
          <w:rFonts w:ascii="Times New Roman" w:hAnsi="Times New Roman" w:eastAsia="Times New Roman" w:cs="Times New Roman"/>
          <w:kern w:val="0"/>
          <w:sz w:val="24"/>
        </w:rPr>
        <w:t>%</w:t>
      </w:r>
      <w:r>
        <w:rPr>
          <w:rFonts w:ascii="宋体" w:hAnsi="宋体" w:eastAsia="宋体" w:cs="宋体"/>
          <w:kern w:val="0"/>
          <w:sz w:val="24"/>
        </w:rPr>
        <w:t>，主要原因是</w:t>
      </w:r>
      <w:r>
        <w:rPr>
          <w:rFonts w:hint="eastAsia" w:ascii="Times New Roman" w:hAnsi="Times New Roman" w:eastAsia="宋体" w:cs="Times New Roman"/>
          <w:kern w:val="0"/>
          <w:sz w:val="24"/>
          <w:lang w:val="en-US" w:eastAsia="zh-CN"/>
        </w:rPr>
        <w:t>报纸发行量有所增加</w:t>
      </w:r>
      <w:r>
        <w:rPr>
          <w:rFonts w:ascii="宋体" w:hAnsi="宋体" w:eastAsia="宋体" w:cs="宋体"/>
          <w:kern w:val="0"/>
          <w:sz w:val="24"/>
        </w:rPr>
        <w:t>。</w:t>
      </w:r>
    </w:p>
    <w:p w14:paraId="04487159">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）其他收入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FAD1E9B">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）使用非财政拨款结余（含专用结余）</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0558AF1">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）年初结转和结余</w:t>
      </w:r>
      <w:r>
        <w:rPr>
          <w:rFonts w:ascii="Times New Roman" w:hAnsi="Times New Roman" w:eastAsia="Times New Roman" w:cs="Times New Roman"/>
          <w:b/>
          <w:bCs/>
          <w:kern w:val="0"/>
          <w:sz w:val="24"/>
        </w:rPr>
        <w:t xml:space="preserve"> 875.58 </w:t>
      </w:r>
      <w:r>
        <w:rPr>
          <w:rFonts w:ascii="宋体" w:hAnsi="宋体" w:eastAsia="宋体" w:cs="宋体"/>
          <w:b/>
          <w:bCs/>
          <w:kern w:val="0"/>
          <w:sz w:val="24"/>
        </w:rPr>
        <w:t>万元。</w:t>
      </w:r>
      <w:r>
        <w:rPr>
          <w:rFonts w:ascii="宋体" w:hAnsi="宋体" w:eastAsia="宋体" w:cs="宋体"/>
          <w:kern w:val="0"/>
          <w:sz w:val="24"/>
        </w:rPr>
        <w:t>系法制日报社</w:t>
      </w:r>
      <w:r>
        <w:rPr>
          <w:rFonts w:hint="eastAsia" w:ascii="宋体" w:hAnsi="宋体" w:eastAsia="宋体" w:cs="宋体"/>
          <w:kern w:val="0"/>
          <w:sz w:val="24"/>
          <w:lang w:val="en-US" w:eastAsia="zh-CN"/>
        </w:rPr>
        <w:t>2022年度经营收入支出的结余。</w:t>
      </w:r>
    </w:p>
    <w:p w14:paraId="6B2C113E">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2</w:t>
      </w:r>
      <w:r>
        <w:rPr>
          <w:rFonts w:ascii="宋体" w:hAnsi="宋体" w:eastAsia="宋体" w:cs="宋体"/>
          <w:b/>
          <w:bCs/>
          <w:kern w:val="0"/>
          <w:sz w:val="24"/>
        </w:rPr>
        <w:t>、支出总计</w:t>
      </w:r>
      <w:r>
        <w:rPr>
          <w:rFonts w:ascii="Times New Roman" w:hAnsi="Times New Roman" w:eastAsia="Times New Roman" w:cs="Times New Roman"/>
          <w:b/>
          <w:bCs/>
          <w:kern w:val="0"/>
          <w:sz w:val="24"/>
        </w:rPr>
        <w:t xml:space="preserve"> 29483.81 </w:t>
      </w:r>
      <w:r>
        <w:rPr>
          <w:rFonts w:ascii="宋体" w:hAnsi="宋体" w:eastAsia="宋体" w:cs="宋体"/>
          <w:b/>
          <w:bCs/>
          <w:kern w:val="0"/>
          <w:sz w:val="24"/>
        </w:rPr>
        <w:t>万元。</w:t>
      </w:r>
    </w:p>
    <w:p w14:paraId="09BEFA5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2023</w:t>
      </w:r>
      <w:r>
        <w:rPr>
          <w:rFonts w:ascii="宋体" w:hAnsi="宋体" w:eastAsia="宋体" w:cs="宋体"/>
          <w:kern w:val="0"/>
          <w:sz w:val="24"/>
        </w:rPr>
        <w:t>年度总支出</w:t>
      </w:r>
      <w:r>
        <w:rPr>
          <w:rFonts w:ascii="Times New Roman" w:hAnsi="Times New Roman" w:eastAsia="Times New Roman" w:cs="Times New Roman"/>
          <w:kern w:val="0"/>
          <w:sz w:val="24"/>
        </w:rPr>
        <w:t xml:space="preserve"> 29483.81 </w:t>
      </w:r>
      <w:r>
        <w:rPr>
          <w:rFonts w:ascii="宋体" w:hAnsi="宋体" w:eastAsia="宋体" w:cs="宋体"/>
          <w:kern w:val="0"/>
          <w:sz w:val="24"/>
        </w:rPr>
        <w:t>万元。其中，本年支出</w:t>
      </w:r>
      <w:r>
        <w:rPr>
          <w:rFonts w:ascii="Times New Roman" w:hAnsi="Times New Roman" w:eastAsia="Times New Roman" w:cs="Times New Roman"/>
          <w:kern w:val="0"/>
          <w:sz w:val="24"/>
        </w:rPr>
        <w:t xml:space="preserve"> 28250.15  </w:t>
      </w:r>
      <w:r>
        <w:rPr>
          <w:rFonts w:ascii="宋体" w:hAnsi="宋体" w:eastAsia="宋体" w:cs="宋体"/>
          <w:kern w:val="0"/>
          <w:sz w:val="24"/>
        </w:rPr>
        <w:t>万元。具体情况如下：</w:t>
      </w:r>
    </w:p>
    <w:p w14:paraId="33014D2E">
      <w:pPr>
        <w:widowControl/>
        <w:numPr>
          <w:ilvl w:val="0"/>
          <w:numId w:val="2"/>
        </w:numPr>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一般公共服务支出（类）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28C003BB">
      <w:pPr>
        <w:widowControl/>
        <w:numPr>
          <w:ilvl w:val="0"/>
          <w:numId w:val="0"/>
        </w:numPr>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w:t>
      </w:r>
      <w:r>
        <w:rPr>
          <w:rFonts w:ascii="宋体" w:hAnsi="宋体" w:eastAsia="宋体" w:cs="宋体"/>
          <w:b/>
          <w:bCs/>
          <w:kern w:val="0"/>
          <w:sz w:val="24"/>
        </w:rPr>
        <w:t>）外交支出（类）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491B32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802A8D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）公开安全支出（类）</w:t>
      </w:r>
      <w:r>
        <w:rPr>
          <w:rFonts w:ascii="Times New Roman" w:hAnsi="Times New Roman" w:eastAsia="Times New Roman" w:cs="Times New Roman"/>
          <w:b/>
          <w:bCs/>
          <w:kern w:val="0"/>
          <w:sz w:val="24"/>
        </w:rPr>
        <w:t xml:space="preserve">28250.15 </w:t>
      </w:r>
      <w:r>
        <w:rPr>
          <w:rFonts w:ascii="宋体" w:hAnsi="宋体" w:eastAsia="宋体" w:cs="宋体"/>
          <w:b/>
          <w:bCs/>
          <w:kern w:val="0"/>
          <w:sz w:val="24"/>
        </w:rPr>
        <w:t>万元。</w:t>
      </w:r>
      <w:r>
        <w:rPr>
          <w:rFonts w:ascii="宋体" w:hAnsi="宋体" w:eastAsia="宋体" w:cs="宋体"/>
          <w:kern w:val="0"/>
          <w:sz w:val="24"/>
        </w:rPr>
        <w:t>主要用于</w:t>
      </w:r>
      <w:r>
        <w:rPr>
          <w:rFonts w:hint="eastAsia" w:ascii="Times New Roman" w:hAnsi="Times New Roman" w:eastAsia="宋体" w:cs="Times New Roman"/>
          <w:kern w:val="0"/>
          <w:sz w:val="24"/>
          <w:lang w:val="en-US" w:eastAsia="zh-CN"/>
        </w:rPr>
        <w:t>本单位经营的人员工资，材料成本，办公费用等共计28250.15万元</w:t>
      </w:r>
      <w:r>
        <w:rPr>
          <w:rFonts w:ascii="宋体" w:hAnsi="宋体" w:eastAsia="宋体" w:cs="宋体"/>
          <w:kern w:val="0"/>
          <w:sz w:val="24"/>
        </w:rPr>
        <w:t>。比</w:t>
      </w:r>
      <w:r>
        <w:rPr>
          <w:rFonts w:ascii="Times New Roman" w:hAnsi="Times New Roman" w:eastAsia="Times New Roman" w:cs="Times New Roman"/>
          <w:kern w:val="0"/>
          <w:sz w:val="24"/>
        </w:rPr>
        <w:t>2022</w:t>
      </w:r>
      <w:r>
        <w:rPr>
          <w:rFonts w:ascii="宋体" w:hAnsi="宋体" w:eastAsia="宋体" w:cs="宋体"/>
          <w:kern w:val="0"/>
          <w:sz w:val="24"/>
        </w:rPr>
        <w:t>年度决算数</w:t>
      </w:r>
      <w:r>
        <w:rPr>
          <w:rFonts w:hint="eastAsia" w:ascii="宋体" w:hAnsi="宋体" w:eastAsia="宋体" w:cs="宋体"/>
          <w:kern w:val="0"/>
          <w:sz w:val="24"/>
        </w:rPr>
        <w:t>24903.99</w:t>
      </w:r>
      <w:r>
        <w:rPr>
          <w:rFonts w:hint="eastAsia" w:ascii="宋体" w:hAnsi="宋体" w:eastAsia="宋体" w:cs="宋体"/>
          <w:kern w:val="0"/>
          <w:sz w:val="24"/>
          <w:lang w:val="en-US" w:eastAsia="zh-CN"/>
        </w:rPr>
        <w:t>万元</w:t>
      </w:r>
      <w:r>
        <w:rPr>
          <w:rFonts w:ascii="宋体" w:hAnsi="宋体" w:eastAsia="宋体" w:cs="宋体"/>
          <w:kern w:val="0"/>
          <w:sz w:val="24"/>
        </w:rPr>
        <w:t>增加</w:t>
      </w:r>
      <w:r>
        <w:rPr>
          <w:rFonts w:hint="eastAsia" w:ascii="宋体" w:hAnsi="宋体" w:eastAsia="宋体" w:cs="宋体"/>
          <w:kern w:val="0"/>
          <w:sz w:val="24"/>
          <w:lang w:val="en-US" w:eastAsia="zh-CN"/>
        </w:rPr>
        <w:t>3346.16</w:t>
      </w:r>
      <w:r>
        <w:rPr>
          <w:rFonts w:ascii="宋体" w:hAnsi="宋体" w:eastAsia="宋体" w:cs="宋体"/>
          <w:kern w:val="0"/>
          <w:sz w:val="24"/>
        </w:rPr>
        <w:t>万元，提高</w:t>
      </w:r>
      <w:r>
        <w:rPr>
          <w:rFonts w:hint="eastAsia" w:ascii="宋体" w:hAnsi="宋体" w:eastAsia="宋体" w:cs="宋体"/>
          <w:kern w:val="0"/>
          <w:sz w:val="24"/>
          <w:lang w:val="en-US" w:eastAsia="zh-CN"/>
        </w:rPr>
        <w:t>13.4</w:t>
      </w:r>
      <w:r>
        <w:rPr>
          <w:rFonts w:ascii="Times New Roman" w:hAnsi="Times New Roman" w:eastAsia="Times New Roman" w:cs="Times New Roman"/>
          <w:kern w:val="0"/>
          <w:sz w:val="24"/>
        </w:rPr>
        <w:t>%</w:t>
      </w:r>
      <w:r>
        <w:rPr>
          <w:rFonts w:ascii="宋体" w:hAnsi="宋体" w:eastAsia="宋体" w:cs="宋体"/>
          <w:kern w:val="0"/>
          <w:sz w:val="24"/>
        </w:rPr>
        <w:t>，主要原因是</w:t>
      </w:r>
      <w:r>
        <w:rPr>
          <w:rFonts w:hint="eastAsia" w:ascii="宋体" w:hAnsi="宋体" w:eastAsia="宋体" w:cs="宋体"/>
          <w:kern w:val="0"/>
          <w:sz w:val="24"/>
          <w:lang w:val="en-US" w:eastAsia="zh-CN"/>
        </w:rPr>
        <w:t>印刷费、纸张材料成本的增加</w:t>
      </w:r>
      <w:r>
        <w:rPr>
          <w:rFonts w:ascii="宋体" w:hAnsi="宋体" w:eastAsia="宋体" w:cs="宋体"/>
          <w:kern w:val="0"/>
          <w:sz w:val="24"/>
        </w:rPr>
        <w:t>。</w:t>
      </w:r>
    </w:p>
    <w:p w14:paraId="2E27F582">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）教育支出（类）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D84504E">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）科学技术支出（类）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27152F7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）文化旅游体育与传媒支出（类）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2F768509">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）社会保障和就业支出（类）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5D71755">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）卫生健康支出（类）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2835F02">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10</w:t>
      </w:r>
      <w:r>
        <w:rPr>
          <w:rFonts w:ascii="宋体" w:hAnsi="宋体" w:eastAsia="宋体" w:cs="宋体"/>
          <w:b/>
          <w:bCs/>
          <w:kern w:val="0"/>
          <w:sz w:val="24"/>
        </w:rPr>
        <w:t>）节能环保支出（类）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58C26B8">
      <w:pPr>
        <w:widowControl/>
        <w:spacing w:before="240" w:after="240"/>
        <w:jc w:val="left"/>
        <w:rPr>
          <w:rFonts w:ascii="Times New Roman" w:hAnsi="Times New Roman" w:eastAsia="Times New Roman" w:cs="Times New Roman"/>
          <w:kern w:val="0"/>
          <w:sz w:val="24"/>
        </w:rPr>
      </w:pPr>
    </w:p>
    <w:p w14:paraId="766BE137">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11</w:t>
      </w:r>
      <w:r>
        <w:rPr>
          <w:rFonts w:ascii="宋体" w:hAnsi="宋体" w:eastAsia="宋体" w:cs="宋体"/>
          <w:b/>
          <w:bCs/>
          <w:kern w:val="0"/>
          <w:sz w:val="24"/>
        </w:rPr>
        <w:t>）城乡社区支出（类）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1F52CFE">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12</w:t>
      </w:r>
      <w:r>
        <w:rPr>
          <w:rFonts w:ascii="宋体" w:hAnsi="宋体" w:eastAsia="宋体" w:cs="宋体"/>
          <w:b/>
          <w:bCs/>
          <w:kern w:val="0"/>
          <w:sz w:val="24"/>
        </w:rPr>
        <w:t>）农林水支出（类）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910CD3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13</w:t>
      </w:r>
      <w:r>
        <w:rPr>
          <w:rFonts w:ascii="宋体" w:hAnsi="宋体" w:eastAsia="宋体" w:cs="宋体"/>
          <w:b/>
          <w:bCs/>
          <w:kern w:val="0"/>
          <w:sz w:val="24"/>
        </w:rPr>
        <w:t>）交通运输支出（类）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EC6E048">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14</w:t>
      </w:r>
      <w:r>
        <w:rPr>
          <w:rFonts w:ascii="宋体" w:hAnsi="宋体" w:eastAsia="宋体" w:cs="宋体"/>
          <w:b/>
          <w:bCs/>
          <w:kern w:val="0"/>
          <w:sz w:val="24"/>
        </w:rPr>
        <w:t>）资源勘探工业信息等支出（类）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7AAC932">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15</w:t>
      </w:r>
      <w:r>
        <w:rPr>
          <w:rFonts w:ascii="宋体" w:hAnsi="宋体" w:eastAsia="宋体" w:cs="宋体"/>
          <w:b/>
          <w:bCs/>
          <w:kern w:val="0"/>
          <w:sz w:val="24"/>
        </w:rPr>
        <w:t>）商业服务业等支出（类）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22BD0F8">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16</w:t>
      </w:r>
      <w:r>
        <w:rPr>
          <w:rFonts w:ascii="宋体" w:hAnsi="宋体" w:eastAsia="宋体" w:cs="宋体"/>
          <w:b/>
          <w:bCs/>
          <w:kern w:val="0"/>
          <w:sz w:val="24"/>
        </w:rPr>
        <w:t>）金融支出（类）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938C110">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17</w:t>
      </w:r>
      <w:r>
        <w:rPr>
          <w:rFonts w:ascii="宋体" w:hAnsi="宋体" w:eastAsia="宋体" w:cs="宋体"/>
          <w:b/>
          <w:bCs/>
          <w:kern w:val="0"/>
          <w:sz w:val="24"/>
        </w:rPr>
        <w:t>）援助其他地区支出（类）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A526C13">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18</w:t>
      </w:r>
      <w:r>
        <w:rPr>
          <w:rFonts w:ascii="宋体" w:hAnsi="宋体" w:eastAsia="宋体" w:cs="宋体"/>
          <w:b/>
          <w:bCs/>
          <w:kern w:val="0"/>
          <w:sz w:val="24"/>
        </w:rPr>
        <w:t>）自然资源海洋气象等支出（类）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2F5E5DC">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19</w:t>
      </w:r>
      <w:r>
        <w:rPr>
          <w:rFonts w:ascii="宋体" w:hAnsi="宋体" w:eastAsia="宋体" w:cs="宋体"/>
          <w:b/>
          <w:bCs/>
          <w:kern w:val="0"/>
          <w:sz w:val="24"/>
        </w:rPr>
        <w:t>）住房保障支出（类）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BDDAB73">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20</w:t>
      </w:r>
      <w:r>
        <w:rPr>
          <w:rFonts w:ascii="宋体" w:hAnsi="宋体" w:eastAsia="宋体" w:cs="宋体"/>
          <w:b/>
          <w:bCs/>
          <w:kern w:val="0"/>
          <w:sz w:val="24"/>
        </w:rPr>
        <w:t>）粮油物资储备支出（类）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7646515">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21</w:t>
      </w:r>
      <w:r>
        <w:rPr>
          <w:rFonts w:ascii="宋体" w:hAnsi="宋体" w:eastAsia="宋体" w:cs="宋体"/>
          <w:b/>
          <w:bCs/>
          <w:kern w:val="0"/>
          <w:sz w:val="24"/>
        </w:rPr>
        <w:t>）国有资本经营预算支出（类）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8C4D6FF">
      <w:pPr>
        <w:widowControl/>
        <w:spacing w:before="240" w:after="240"/>
        <w:jc w:val="left"/>
        <w:rPr>
          <w:rFonts w:hint="eastAsia" w:ascii="Times New Roman" w:hAnsi="Times New Roman" w:eastAsia="宋体" w:cs="Times New Roman"/>
          <w:kern w:val="0"/>
          <w:sz w:val="24"/>
          <w:lang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22</w:t>
      </w:r>
      <w:r>
        <w:rPr>
          <w:rFonts w:ascii="宋体" w:hAnsi="宋体" w:eastAsia="宋体" w:cs="宋体"/>
          <w:b/>
          <w:bCs/>
          <w:kern w:val="0"/>
          <w:sz w:val="24"/>
        </w:rPr>
        <w:t>）灾害防治及应急管理支出（类）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v</w:t>
      </w:r>
    </w:p>
    <w:p w14:paraId="583B2ABB">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23</w:t>
      </w:r>
      <w:r>
        <w:rPr>
          <w:rFonts w:ascii="宋体" w:hAnsi="宋体" w:eastAsia="宋体" w:cs="宋体"/>
          <w:b/>
          <w:bCs/>
          <w:kern w:val="0"/>
          <w:sz w:val="24"/>
        </w:rPr>
        <w:t>）其他支出（类）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97BBED3">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24</w:t>
      </w:r>
      <w:r>
        <w:rPr>
          <w:rFonts w:ascii="宋体" w:hAnsi="宋体" w:eastAsia="宋体" w:cs="宋体"/>
          <w:b/>
          <w:bCs/>
          <w:kern w:val="0"/>
          <w:sz w:val="24"/>
        </w:rPr>
        <w:t>）债务还本支出（类）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44203D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25</w:t>
      </w:r>
      <w:r>
        <w:rPr>
          <w:rFonts w:ascii="宋体" w:hAnsi="宋体" w:eastAsia="宋体" w:cs="宋体"/>
          <w:b/>
          <w:bCs/>
          <w:kern w:val="0"/>
          <w:sz w:val="24"/>
        </w:rPr>
        <w:t>）债务付息支出（类）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C01DB5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26</w:t>
      </w:r>
      <w:r>
        <w:rPr>
          <w:rFonts w:ascii="宋体" w:hAnsi="宋体" w:eastAsia="宋体" w:cs="宋体"/>
          <w:b/>
          <w:bCs/>
          <w:kern w:val="0"/>
          <w:sz w:val="24"/>
        </w:rPr>
        <w:t>）抗疫特别国债安排的支出（类）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C5CBB37">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27</w:t>
      </w:r>
      <w:r>
        <w:rPr>
          <w:rFonts w:ascii="宋体" w:hAnsi="宋体" w:eastAsia="宋体" w:cs="宋体"/>
          <w:b/>
          <w:bCs/>
          <w:kern w:val="0"/>
          <w:sz w:val="24"/>
        </w:rPr>
        <w:t>）结余分配（类）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3499943">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28</w:t>
      </w:r>
      <w:r>
        <w:rPr>
          <w:rFonts w:ascii="宋体" w:hAnsi="宋体" w:eastAsia="宋体" w:cs="宋体"/>
          <w:b/>
          <w:bCs/>
          <w:kern w:val="0"/>
          <w:sz w:val="24"/>
        </w:rPr>
        <w:t>）年末结转和结余（类）</w:t>
      </w:r>
      <w:r>
        <w:rPr>
          <w:rFonts w:ascii="Times New Roman" w:hAnsi="Times New Roman" w:eastAsia="Times New Roman" w:cs="Times New Roman"/>
          <w:b/>
          <w:bCs/>
          <w:kern w:val="0"/>
          <w:sz w:val="24"/>
        </w:rPr>
        <w:t xml:space="preserve">1233.66 </w:t>
      </w:r>
      <w:r>
        <w:rPr>
          <w:rFonts w:ascii="宋体" w:hAnsi="宋体" w:eastAsia="宋体" w:cs="宋体"/>
          <w:b/>
          <w:bCs/>
          <w:kern w:val="0"/>
          <w:sz w:val="24"/>
        </w:rPr>
        <w:t>万元。</w:t>
      </w:r>
      <w:r>
        <w:rPr>
          <w:rFonts w:hint="eastAsia" w:ascii="宋体" w:hAnsi="宋体" w:eastAsia="宋体" w:cs="宋体"/>
          <w:b/>
          <w:bCs/>
          <w:kern w:val="0"/>
          <w:sz w:val="24"/>
          <w:lang w:val="en-US" w:eastAsia="zh-CN"/>
        </w:rPr>
        <w:t>结转到2024年度</w:t>
      </w:r>
      <w:r>
        <w:rPr>
          <w:rFonts w:ascii="宋体" w:hAnsi="宋体" w:eastAsia="宋体" w:cs="宋体"/>
          <w:kern w:val="0"/>
          <w:sz w:val="24"/>
        </w:rPr>
        <w:t>。比</w:t>
      </w:r>
      <w:r>
        <w:rPr>
          <w:rFonts w:ascii="Times New Roman" w:hAnsi="Times New Roman" w:eastAsia="Times New Roman" w:cs="Times New Roman"/>
          <w:kern w:val="0"/>
          <w:sz w:val="24"/>
        </w:rPr>
        <w:t>2022</w:t>
      </w:r>
      <w:r>
        <w:rPr>
          <w:rFonts w:ascii="宋体" w:hAnsi="宋体" w:eastAsia="宋体" w:cs="宋体"/>
          <w:kern w:val="0"/>
          <w:sz w:val="24"/>
        </w:rPr>
        <w:t>年度决算数</w:t>
      </w:r>
      <w:r>
        <w:rPr>
          <w:rFonts w:hint="eastAsia" w:ascii="宋体" w:hAnsi="宋体" w:eastAsia="宋体" w:cs="宋体"/>
          <w:kern w:val="0"/>
          <w:sz w:val="24"/>
          <w:lang w:val="en-US" w:eastAsia="zh-CN"/>
        </w:rPr>
        <w:t>875.58万元</w:t>
      </w:r>
      <w:r>
        <w:rPr>
          <w:rFonts w:ascii="宋体" w:hAnsi="宋体" w:eastAsia="宋体" w:cs="宋体"/>
          <w:kern w:val="0"/>
          <w:sz w:val="24"/>
        </w:rPr>
        <w:t>增加</w:t>
      </w:r>
      <w:r>
        <w:rPr>
          <w:rFonts w:hint="eastAsia" w:ascii="宋体" w:hAnsi="宋体" w:eastAsia="宋体" w:cs="宋体"/>
          <w:kern w:val="0"/>
          <w:sz w:val="24"/>
          <w:lang w:val="en-US" w:eastAsia="zh-CN"/>
        </w:rPr>
        <w:t>358.08</w:t>
      </w:r>
      <w:r>
        <w:rPr>
          <w:rFonts w:ascii="宋体" w:hAnsi="宋体" w:eastAsia="宋体" w:cs="宋体"/>
          <w:kern w:val="0"/>
          <w:sz w:val="24"/>
        </w:rPr>
        <w:t>万元，提高</w:t>
      </w:r>
      <w:r>
        <w:rPr>
          <w:rFonts w:hint="eastAsia" w:ascii="宋体" w:hAnsi="宋体" w:eastAsia="宋体" w:cs="宋体"/>
          <w:kern w:val="0"/>
          <w:sz w:val="24"/>
          <w:lang w:val="en-US" w:eastAsia="zh-CN"/>
        </w:rPr>
        <w:t>40.8</w:t>
      </w:r>
      <w:r>
        <w:rPr>
          <w:rFonts w:ascii="Times New Roman" w:hAnsi="Times New Roman" w:eastAsia="Times New Roman" w:cs="Times New Roman"/>
          <w:kern w:val="0"/>
          <w:sz w:val="24"/>
        </w:rPr>
        <w:t>%</w:t>
      </w:r>
      <w:r>
        <w:rPr>
          <w:rFonts w:ascii="宋体" w:hAnsi="宋体" w:eastAsia="宋体" w:cs="宋体"/>
          <w:kern w:val="0"/>
          <w:sz w:val="24"/>
        </w:rPr>
        <w:t>。</w:t>
      </w:r>
    </w:p>
    <w:p w14:paraId="50E02B06">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（二）一般公共预算财政拨款支出情况说明</w:t>
      </w:r>
    </w:p>
    <w:p w14:paraId="32120211">
      <w:pPr>
        <w:widowControl/>
        <w:spacing w:before="240" w:after="240"/>
        <w:jc w:val="left"/>
        <w:rPr>
          <w:rFonts w:hint="eastAsia" w:ascii="Times New Roman" w:hAnsi="Times New Roman" w:eastAsia="宋体" w:cs="Times New Roman"/>
          <w:kern w:val="0"/>
          <w:sz w:val="24"/>
          <w:lang w:eastAsia="zh-CN"/>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2023</w:t>
      </w:r>
      <w:r>
        <w:rPr>
          <w:rFonts w:ascii="宋体" w:hAnsi="宋体" w:eastAsia="宋体" w:cs="宋体"/>
          <w:kern w:val="0"/>
          <w:sz w:val="24"/>
        </w:rPr>
        <w:t>年度一般公共预算财政拨款支出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宋体" w:hAnsi="宋体" w:eastAsia="宋体" w:cs="宋体"/>
          <w:kern w:val="0"/>
          <w:sz w:val="24"/>
          <w:lang w:eastAsia="zh-CN"/>
        </w:rPr>
        <w:t>。</w:t>
      </w:r>
    </w:p>
    <w:p w14:paraId="203B8B40">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（三）一般公共预算财政拨款基本支出情况说明</w:t>
      </w:r>
    </w:p>
    <w:p w14:paraId="18DF69A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2023</w:t>
      </w:r>
      <w:r>
        <w:rPr>
          <w:rFonts w:ascii="宋体" w:hAnsi="宋体" w:eastAsia="宋体" w:cs="宋体"/>
          <w:kern w:val="0"/>
          <w:sz w:val="24"/>
        </w:rPr>
        <w:t>年度一般公共预算财政拨款基本支出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p>
    <w:p w14:paraId="78E80CEB">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（四）政府性基金预算财政拨款收支情况说明</w:t>
      </w:r>
    </w:p>
    <w:p w14:paraId="515E128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2023</w:t>
      </w:r>
      <w:r>
        <w:rPr>
          <w:rFonts w:ascii="宋体" w:hAnsi="宋体" w:eastAsia="宋体" w:cs="宋体"/>
          <w:kern w:val="0"/>
          <w:sz w:val="24"/>
        </w:rPr>
        <w:t>年度政府性基金预算本年收入</w:t>
      </w:r>
      <w:r>
        <w:rPr>
          <w:rFonts w:ascii="Times New Roman" w:hAnsi="Times New Roman" w:eastAsia="Times New Roman" w:cs="Times New Roman"/>
          <w:kern w:val="0"/>
          <w:sz w:val="24"/>
        </w:rPr>
        <w:t xml:space="preserve"> 0.00 </w:t>
      </w:r>
      <w:r>
        <w:rPr>
          <w:rFonts w:ascii="宋体" w:hAnsi="宋体" w:eastAsia="宋体" w:cs="宋体"/>
          <w:kern w:val="0"/>
          <w:sz w:val="24"/>
        </w:rPr>
        <w:t>万元</w:t>
      </w:r>
      <w:r>
        <w:rPr>
          <w:rFonts w:hint="eastAsia" w:ascii="宋体" w:hAnsi="宋体" w:eastAsia="宋体" w:cs="宋体"/>
          <w:kern w:val="0"/>
          <w:sz w:val="24"/>
          <w:lang w:eastAsia="zh-CN"/>
        </w:rPr>
        <w:t>，</w:t>
      </w:r>
      <w:r>
        <w:rPr>
          <w:rFonts w:hint="eastAsia" w:ascii="Times New Roman" w:hAnsi="Times New Roman" w:eastAsia="宋体" w:cs="Times New Roman"/>
          <w:kern w:val="0"/>
          <w:sz w:val="24"/>
          <w:lang w:val="en-US" w:eastAsia="zh-CN"/>
        </w:rPr>
        <w:t>支出0.00万元</w:t>
      </w:r>
      <w:r>
        <w:rPr>
          <w:rFonts w:ascii="宋体" w:hAnsi="宋体" w:eastAsia="宋体" w:cs="宋体"/>
          <w:kern w:val="0"/>
          <w:sz w:val="24"/>
        </w:rPr>
        <w:t>。</w:t>
      </w:r>
    </w:p>
    <w:p w14:paraId="111393E7">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（五）国有资本经营预算财政拨款收支情况说明</w:t>
      </w:r>
    </w:p>
    <w:p w14:paraId="7173582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2023</w:t>
      </w:r>
      <w:r>
        <w:rPr>
          <w:rFonts w:ascii="宋体" w:hAnsi="宋体" w:eastAsia="宋体" w:cs="宋体"/>
          <w:kern w:val="0"/>
          <w:sz w:val="24"/>
        </w:rPr>
        <w:t>年度国有资本经营预算本年收入</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Times New Roman" w:hAnsi="Times New Roman" w:eastAsia="宋体" w:cs="Times New Roman"/>
          <w:kern w:val="0"/>
          <w:sz w:val="24"/>
          <w:lang w:val="en-US" w:eastAsia="zh-CN"/>
        </w:rPr>
        <w:t>支出0.00万元</w:t>
      </w:r>
      <w:r>
        <w:rPr>
          <w:rFonts w:ascii="宋体" w:hAnsi="宋体" w:eastAsia="宋体" w:cs="宋体"/>
          <w:kern w:val="0"/>
          <w:sz w:val="24"/>
        </w:rPr>
        <w:t>。</w:t>
      </w:r>
    </w:p>
    <w:p w14:paraId="2F6CCA0F">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三</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ascii="宋体" w:hAnsi="宋体" w:eastAsia="宋体" w:cs="宋体"/>
          <w:color w:val="auto"/>
          <w:kern w:val="0"/>
          <w:sz w:val="36"/>
          <w:szCs w:val="36"/>
        </w:rPr>
        <w:t>名词解释</w:t>
      </w:r>
    </w:p>
    <w:p w14:paraId="255D0B4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（以下为常见专业名词解释目录，仅供参考，部门应根据实际情况进行解释和增减</w:t>
      </w:r>
      <w:r>
        <w:rPr>
          <w:rFonts w:ascii="Times New Roman" w:hAnsi="Times New Roman" w:eastAsia="Times New Roman" w:cs="Times New Roman"/>
          <w:kern w:val="0"/>
          <w:sz w:val="24"/>
        </w:rPr>
        <w:t>,</w:t>
      </w:r>
      <w:r>
        <w:rPr>
          <w:rFonts w:ascii="宋体" w:hAnsi="宋体" w:eastAsia="宋体" w:cs="宋体"/>
          <w:kern w:val="0"/>
          <w:sz w:val="24"/>
        </w:rPr>
        <w:t>需要将类级功能科目和经济科目细化解释到项级。）</w:t>
      </w:r>
    </w:p>
    <w:p w14:paraId="00CF514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（一）财政拨款收入：指本年度从本级财政部门取得的财政拨款，包括一般公共预算财政拨款和政府性基金预算财政拨款。</w:t>
      </w:r>
    </w:p>
    <w:p w14:paraId="78CC858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（二）事业收入：指事业单位开展专业业务活动及其辅助活动取得的收入；事业单位收到的财政专户实际核拨的教育收费等资金。</w:t>
      </w:r>
    </w:p>
    <w:p w14:paraId="0998CE4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（三）经营收入：指事业单位在专业业务活动及其辅助活动之外开展非独立核算经营活动取得的收入。</w:t>
      </w:r>
    </w:p>
    <w:p w14:paraId="5A137F3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14:paraId="0201DDA3">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（五）使用非财政拨款结余：指事业单位在当年的</w:t>
      </w:r>
      <w:r>
        <w:rPr>
          <w:rFonts w:ascii="Times New Roman" w:hAnsi="Times New Roman" w:eastAsia="Times New Roman" w:cs="Times New Roman"/>
          <w:kern w:val="0"/>
          <w:sz w:val="24"/>
        </w:rPr>
        <w:t>“</w:t>
      </w:r>
      <w:r>
        <w:rPr>
          <w:rFonts w:ascii="宋体" w:hAnsi="宋体" w:eastAsia="宋体" w:cs="宋体"/>
          <w:kern w:val="0"/>
          <w:sz w:val="24"/>
        </w:rPr>
        <w:t>财政拨款收入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财政拨款结转和结余资金</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事业单位经营收入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其他收入</w:t>
      </w:r>
      <w:r>
        <w:rPr>
          <w:rFonts w:ascii="Times New Roman" w:hAnsi="Times New Roman" w:eastAsia="Times New Roman" w:cs="Times New Roman"/>
          <w:kern w:val="0"/>
          <w:sz w:val="24"/>
        </w:rPr>
        <w:t>”</w:t>
      </w:r>
      <w:r>
        <w:rPr>
          <w:rFonts w:ascii="宋体" w:hAnsi="宋体" w:eastAsia="宋体" w:cs="宋体"/>
          <w:kern w:val="0"/>
          <w:sz w:val="24"/>
        </w:rPr>
        <w:t>不足以安排当年支出的情况下，使用以前年度累积的事业基金（当年收支相抵后按国家规定提取、用于弥补以后年度收支差额的基金）弥补本年收支缺口的资金。</w:t>
      </w:r>
    </w:p>
    <w:p w14:paraId="5E073B5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（六）年初结转和结余：指以前年度支出预算因客观条件变化未执行完毕、结转到本年度按有关规定继续使用的资金。</w:t>
      </w:r>
    </w:p>
    <w:p w14:paraId="47969C62">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（七）结余分配：指事业单位按照会计制度规定缴纳的所得税以及从非财政拨款结余中提取的职工福利基金、事业基金等。</w:t>
      </w:r>
    </w:p>
    <w:p w14:paraId="11648BCD">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（八）年末结转和结余：指单位本年度或以前年度预算安排、因客观条件发生变化未全部执行或未执行，结转到以后年度继续使用的资金，或项目已完成等产生的结余资金。</w:t>
      </w:r>
    </w:p>
    <w:p w14:paraId="1704831F">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（九）基本支出：指为保障机构正常运转、完成日常工作任务而发生的人员经费和公用经费。其中：人员经费指政府收支分类经济科目中的</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；公用经费指政府收支分类经济科目中除</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外的其他支出。</w:t>
      </w:r>
    </w:p>
    <w:p w14:paraId="4FE4FA5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（十）项目支出：指在基本支出之外为完成特定任务和事业发展目标所发生的支出。</w:t>
      </w:r>
    </w:p>
    <w:p w14:paraId="5332B71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（十一）经营支出：指事业单位在专业业务活动及其辅助活动之外开展非独立核算经营活动发生的支出。</w:t>
      </w:r>
    </w:p>
    <w:p w14:paraId="407630C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（十二）</w:t>
      </w:r>
      <w:r>
        <w:rPr>
          <w:rFonts w:ascii="Times New Roman" w:hAnsi="Times New Roman" w:eastAsia="Times New Roman" w:cs="Times New Roman"/>
          <w:kern w:val="0"/>
          <w:sz w:val="24"/>
        </w:rPr>
        <w:t>“</w:t>
      </w:r>
      <w:r>
        <w:rPr>
          <w:rFonts w:ascii="宋体" w:hAnsi="宋体" w:eastAsia="宋体" w:cs="宋体"/>
          <w:kern w:val="0"/>
          <w:sz w:val="24"/>
        </w:rPr>
        <w:t>三公</w:t>
      </w:r>
      <w:r>
        <w:rPr>
          <w:rFonts w:ascii="Times New Roman" w:hAnsi="Times New Roman" w:eastAsia="Times New Roman" w:cs="Times New Roman"/>
          <w:kern w:val="0"/>
          <w:sz w:val="24"/>
        </w:rPr>
        <w:t>”</w:t>
      </w:r>
      <w:r>
        <w:rPr>
          <w:rFonts w:ascii="宋体" w:hAnsi="宋体" w:eastAsia="宋体" w:cs="宋体"/>
          <w:kern w:val="0"/>
          <w:sz w:val="24"/>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3FD5A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5F5DA18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（十四）工资福利支出（支出经济分类科目类级）：反映单位开支的在职职工和编制外长期聘用人员的各类劳动报酬，以及为上述人员缴纳的各项社会保险费等。</w:t>
      </w:r>
    </w:p>
    <w:p w14:paraId="1EB4FB7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（十五）商品和服务支出（支出经济分类科目类级）：反映单位购买商品和服务的支出（不包括用于购置固定资产的支出、战略性和应急储备支出）。</w:t>
      </w:r>
    </w:p>
    <w:p w14:paraId="14DE499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（十六）对个人和家庭的补助（支出经济分类科目类级）：反映用于对个人和家庭的补助支出。</w:t>
      </w:r>
    </w:p>
    <w:p w14:paraId="60D90DE1">
      <w:pPr>
        <w:widowControl/>
        <w:spacing w:before="240" w:after="240"/>
        <w:jc w:val="left"/>
        <w:rPr>
          <w:rFonts w:ascii="宋体" w:hAnsi="宋体" w:eastAsia="宋体" w:cs="宋体"/>
          <w:kern w:val="0"/>
          <w:sz w:val="24"/>
        </w:rPr>
      </w:pPr>
      <w:r>
        <w:rPr>
          <w:rFonts w:ascii="宋体" w:hAnsi="宋体" w:eastAsia="宋体" w:cs="宋体"/>
          <w:kern w:val="0"/>
          <w:sz w:val="24"/>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14:paraId="60126DEE">
      <w:pPr>
        <w:widowControl/>
        <w:spacing w:before="240" w:after="240"/>
        <w:jc w:val="left"/>
        <w:rPr>
          <w:rFonts w:hint="default" w:ascii="宋体" w:hAnsi="宋体" w:eastAsia="宋体" w:cs="宋体"/>
          <w:b/>
          <w:bCs/>
          <w:kern w:val="0"/>
          <w:sz w:val="24"/>
          <w:lang w:val="en-US" w:eastAsia="zh-CN"/>
        </w:rPr>
      </w:pPr>
      <w:r>
        <w:rPr>
          <w:rFonts w:ascii="宋体" w:hAnsi="宋体" w:eastAsia="宋体" w:cs="宋体"/>
          <w:b/>
          <w:bCs/>
          <w:color w:val="auto"/>
          <w:kern w:val="0"/>
          <w:sz w:val="36"/>
          <w:szCs w:val="36"/>
        </w:rPr>
        <w:t>第</w:t>
      </w:r>
      <w:r>
        <w:rPr>
          <w:rFonts w:hint="eastAsia" w:ascii="宋体" w:hAnsi="宋体" w:eastAsia="宋体" w:cs="宋体"/>
          <w:b/>
          <w:bCs/>
          <w:color w:val="auto"/>
          <w:kern w:val="0"/>
          <w:sz w:val="36"/>
          <w:szCs w:val="36"/>
          <w:lang w:val="en-US" w:eastAsia="zh-CN"/>
        </w:rPr>
        <w:t>四</w:t>
      </w:r>
      <w:r>
        <w:rPr>
          <w:rFonts w:ascii="宋体" w:hAnsi="宋体" w:eastAsia="宋体" w:cs="宋体"/>
          <w:b/>
          <w:bCs/>
          <w:color w:val="auto"/>
          <w:kern w:val="0"/>
          <w:sz w:val="36"/>
          <w:szCs w:val="36"/>
        </w:rPr>
        <w:t>部分</w:t>
      </w:r>
      <w:r>
        <w:rPr>
          <w:rFonts w:ascii="Times New Roman" w:hAnsi="Times New Roman" w:eastAsia="Times New Roman" w:cs="Times New Roman"/>
          <w:b/>
          <w:bCs/>
          <w:color w:val="auto"/>
          <w:kern w:val="0"/>
          <w:sz w:val="36"/>
          <w:szCs w:val="36"/>
        </w:rPr>
        <w:t> </w:t>
      </w:r>
      <w:r>
        <w:rPr>
          <w:rFonts w:hint="eastAsia" w:ascii="Times New Roman" w:hAnsi="Times New Roman" w:eastAsia="宋体" w:cs="Times New Roman"/>
          <w:b/>
          <w:bCs/>
          <w:color w:val="auto"/>
          <w:kern w:val="0"/>
          <w:sz w:val="36"/>
          <w:szCs w:val="36"/>
          <w:lang w:val="en-US" w:eastAsia="zh-CN"/>
        </w:rPr>
        <w:t xml:space="preserve"> 决算报表（见附件）</w:t>
      </w:r>
    </w:p>
    <w:p w14:paraId="17A4492C">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五</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w:t>
      </w:r>
      <w:r>
        <w:rPr>
          <w:rFonts w:ascii="宋体" w:hAnsi="宋体" w:eastAsia="宋体" w:cs="宋体"/>
          <w:color w:val="auto"/>
          <w:kern w:val="0"/>
          <w:sz w:val="36"/>
          <w:szCs w:val="36"/>
        </w:rPr>
        <w:t>决算公开联系方式及信息反馈渠道</w:t>
      </w:r>
    </w:p>
    <w:p w14:paraId="51990D7F">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本单位决算公开信息反馈和联系方式：</w:t>
      </w:r>
    </w:p>
    <w:p w14:paraId="3FCAC7B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联系人：</w:t>
      </w:r>
      <w:r>
        <w:rPr>
          <w:rFonts w:hint="eastAsia" w:ascii="宋体" w:hAnsi="宋体" w:eastAsia="宋体" w:cs="宋体"/>
          <w:kern w:val="0"/>
          <w:sz w:val="24"/>
          <w:lang w:val="en-US" w:eastAsia="zh-CN"/>
        </w:rPr>
        <w:t>韩永兰</w:t>
      </w:r>
      <w:r>
        <w:rPr>
          <w:rFonts w:ascii="Times New Roman" w:hAnsi="Times New Roman" w:eastAsia="Times New Roman" w:cs="Times New Roman"/>
          <w:kern w:val="0"/>
          <w:sz w:val="24"/>
        </w:rPr>
        <w:t xml:space="preserve">              </w:t>
      </w:r>
      <w:r>
        <w:rPr>
          <w:rFonts w:ascii="宋体" w:hAnsi="宋体" w:eastAsia="宋体" w:cs="宋体"/>
          <w:kern w:val="0"/>
          <w:sz w:val="24"/>
        </w:rPr>
        <w:t>联系电话：</w:t>
      </w:r>
      <w:r>
        <w:rPr>
          <w:rFonts w:hint="eastAsia" w:ascii="宋体" w:hAnsi="宋体" w:eastAsia="宋体" w:cs="宋体"/>
          <w:kern w:val="0"/>
          <w:sz w:val="24"/>
          <w:lang w:val="en-US" w:eastAsia="zh-CN"/>
        </w:rPr>
        <w:t>84772663</w:t>
      </w:r>
      <w:r>
        <w:rPr>
          <w:rFonts w:ascii="Times New Roman" w:hAnsi="Times New Roman" w:eastAsia="Times New Roman" w:cs="Times New Roman"/>
          <w:kern w:val="0"/>
          <w:sz w:val="24"/>
        </w:rPr>
        <w:t> </w:t>
      </w:r>
    </w:p>
    <w:bookmarkEnd w:id="0"/>
    <w:p w14:paraId="58B47D8E">
      <w:pPr>
        <w:rPr>
          <w:rFonts w:hint="eastAsia"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283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E8AFE"/>
    <w:multiLevelType w:val="singleLevel"/>
    <w:tmpl w:val="D6BE8AFE"/>
    <w:lvl w:ilvl="0" w:tentative="0">
      <w:start w:val="1"/>
      <w:numFmt w:val="decimal"/>
      <w:suff w:val="nothing"/>
      <w:lvlText w:val="（%1）"/>
      <w:lvlJc w:val="left"/>
    </w:lvl>
  </w:abstractNum>
  <w:abstractNum w:abstractNumId="1">
    <w:nsid w:val="653F6EF6"/>
    <w:multiLevelType w:val="singleLevel"/>
    <w:tmpl w:val="653F6EF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NTY1MGMxYjIwMTY5NWE3MWRmMTU0YTc4YjY4ODUifQ=="/>
  </w:docVars>
  <w:rsids>
    <w:rsidRoot w:val="401763EA"/>
    <w:rsid w:val="02550B45"/>
    <w:rsid w:val="08A25A83"/>
    <w:rsid w:val="0F3E56C4"/>
    <w:rsid w:val="17247022"/>
    <w:rsid w:val="20D83B05"/>
    <w:rsid w:val="22F52D95"/>
    <w:rsid w:val="2A70340A"/>
    <w:rsid w:val="310425F9"/>
    <w:rsid w:val="401763EA"/>
    <w:rsid w:val="49113120"/>
    <w:rsid w:val="580973E5"/>
    <w:rsid w:val="5C0B5772"/>
    <w:rsid w:val="709F0345"/>
    <w:rsid w:val="714C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00" w:firstLineChars="200"/>
    </w:pPr>
    <w:rPr>
      <w:rFonts w:ascii="Times New Roman" w:hAnsi="Times New Roman" w:eastAsia="仿宋_GB2312" w:cs="Times New Roman"/>
      <w:sz w:val="3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3229</Words>
  <Characters>3663</Characters>
  <Lines>0</Lines>
  <Paragraphs>0</Paragraphs>
  <TotalTime>6</TotalTime>
  <ScaleCrop>false</ScaleCrop>
  <LinksUpToDate>false</LinksUpToDate>
  <CharactersWithSpaces>3757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2023-11-29T03:14:00Z</dcterms:created>
  <dc:creator>Administrator</dc:creator>
  <cp:lastModifiedBy>凌儿</cp:lastModifiedBy>
  <dcterms:modified xsi:type="dcterms:W3CDTF">2024-08-14T01:39:07Z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B6C857D0DB6641209408A58E56A6A9B6</vt:lpwstr>
  </property>
  <property fmtid="{D5CDD505-2E9C-101B-9397-08002B2CF9AE}" pid="3" name="KSOProductBuildVer">
    <vt:lpwstr>2052-12.1.0.17147</vt:lpwstr>
  </property>
</Properties>
</file>